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AAE70" w14:textId="4AD0AF5F" w:rsidR="00E5229F" w:rsidRDefault="00A37A08">
      <w:pPr>
        <w:rPr>
          <w:b/>
          <w:bCs/>
        </w:rPr>
      </w:pPr>
      <w:r>
        <w:rPr>
          <w:b/>
          <w:bCs/>
        </w:rPr>
        <w:t xml:space="preserve">3. </w:t>
      </w:r>
      <w:r w:rsidRPr="00A37A08">
        <w:rPr>
          <w:b/>
          <w:bCs/>
        </w:rPr>
        <w:t>¿Existen programas específicos para atender complicaciones médicas derivadas de embarazos adolescentes?</w:t>
      </w:r>
    </w:p>
    <w:p w14:paraId="346FE417" w14:textId="4B8A7E6C" w:rsidR="00A37A08" w:rsidRDefault="00A37A08" w:rsidP="00A37A08">
      <w:pPr>
        <w:jc w:val="both"/>
      </w:pPr>
      <w:r>
        <w:rPr>
          <w:b/>
          <w:bCs/>
        </w:rPr>
        <w:t xml:space="preserve">Respuesta: </w:t>
      </w:r>
      <w:r>
        <w:t>Desde la ruta de promoción y mantenimiento de la salud no se tiene información para esta respuesta, ya que las adolescentes en embarazadas son atendidas a través de la ruta materno perinatal y las complicaciones derivadas de la gestación requieren de intervenciones específicas que no se encuentran enmarcadas en nuestra ruta. Si bien, la adolescente puede continuar con las atenciones de detección temprana y protección específica propias de la ruta de promoción y mantenimiento de la salud, lo relacionado con la atención de la gestación y las posibles complicaciones derivadas de la misma son atendidas por otros servicios específicos.</w:t>
      </w:r>
    </w:p>
    <w:p w14:paraId="55CBB107" w14:textId="77777777" w:rsidR="00A37A08" w:rsidRDefault="00A37A08" w:rsidP="00A37A08">
      <w:pPr>
        <w:jc w:val="both"/>
      </w:pPr>
    </w:p>
    <w:p w14:paraId="350C42DA" w14:textId="77777777" w:rsidR="00A37A08" w:rsidRDefault="00A37A08" w:rsidP="00A37A08">
      <w:pPr>
        <w:jc w:val="both"/>
        <w:rPr>
          <w:b/>
          <w:bCs/>
        </w:rPr>
      </w:pPr>
      <w:r w:rsidRPr="00A37A08">
        <w:rPr>
          <w:b/>
          <w:bCs/>
        </w:rPr>
        <w:t xml:space="preserve">5. ¿Cuáles son los principales obstáculos que enfrentan las adolescentes para acceder a métodos anticonceptivos gratuitos en la ciudad? </w:t>
      </w:r>
    </w:p>
    <w:p w14:paraId="47A4C3D7" w14:textId="501E1002" w:rsidR="00A37A08" w:rsidRDefault="00A37A08" w:rsidP="00A37A08">
      <w:pPr>
        <w:jc w:val="both"/>
      </w:pPr>
      <w:r>
        <w:rPr>
          <w:b/>
          <w:bCs/>
        </w:rPr>
        <w:t xml:space="preserve">Respuesta: </w:t>
      </w:r>
      <w:r>
        <w:t>Para disminuir las barreras de acceso que se pueden presentar para acceder a la atención para la anticoncepción y la planificación familiar, dentro de las que se han identificado la fragmentación en la atención y la no prestación del servicio si se llegan a encontrar que</w:t>
      </w:r>
      <w:r w:rsidR="003248C6">
        <w:t xml:space="preserve"> las adolescentes</w:t>
      </w:r>
      <w:r>
        <w:t xml:space="preserve"> asisten solas a las atenciones, desde el equipo de la ruta de promoción y mante</w:t>
      </w:r>
      <w:r w:rsidR="0030679A">
        <w:t>n</w:t>
      </w:r>
      <w:r>
        <w:t>imiento de la salud, de la Dirección de Provisión de Servicios de Salud, se ha venido desarrollando sesiones de orientaciones técnicas al talento humano que realiza la atención de población adolescente</w:t>
      </w:r>
      <w:r w:rsidR="003248C6">
        <w:t>,3</w:t>
      </w:r>
      <w:r>
        <w:t xml:space="preserve"> con el fin de fortalecer la prestación de las atenciones requeridas por la población adolescente en el marco de la atención de la salud sexual y la salud reproductiva. Para ello, se ha fortalecido</w:t>
      </w:r>
      <w:r w:rsidR="003248C6">
        <w:t xml:space="preserve"> técnicamente</w:t>
      </w:r>
      <w:r>
        <w:t xml:space="preserve"> en la Atención para la planificación familiar y la anticoncepción, de acuerdo a lo establecido en la </w:t>
      </w:r>
      <w:r w:rsidRPr="003248C6">
        <w:rPr>
          <w:b/>
          <w:bCs/>
        </w:rPr>
        <w:t>Resolución 3280 de 2018</w:t>
      </w:r>
      <w:r w:rsidR="003248C6">
        <w:rPr>
          <w:rStyle w:val="Refdenotaalpie"/>
        </w:rPr>
        <w:footnoteReference w:id="1"/>
      </w:r>
      <w:r>
        <w:t xml:space="preserve">, con el ánimo de garantizar que a las </w:t>
      </w:r>
      <w:r w:rsidR="003248C6">
        <w:t xml:space="preserve">y los </w:t>
      </w:r>
      <w:r>
        <w:t>adol</w:t>
      </w:r>
      <w:r w:rsidR="003248C6">
        <w:t>e</w:t>
      </w:r>
      <w:r>
        <w:t xml:space="preserve">scentes se les brinde toda la información relacionada con </w:t>
      </w:r>
      <w:r w:rsidR="003248C6">
        <w:t xml:space="preserve">el ejercicio de los </w:t>
      </w:r>
      <w:r>
        <w:t xml:space="preserve">derechos sexuales y derechos reproductivos, métodos </w:t>
      </w:r>
      <w:r w:rsidR="0030679A">
        <w:t>anticonceptivos</w:t>
      </w:r>
      <w:r>
        <w:t xml:space="preserve"> y proyecto de vida</w:t>
      </w:r>
      <w:r w:rsidR="003248C6">
        <w:t xml:space="preserve">. De igual manera, se ha fortalecido técnicamente para incorporar a las y los adolescentes en la toma de decisiones en salud, de acuerdo a lo </w:t>
      </w:r>
      <w:r w:rsidR="0030679A">
        <w:t>establecido</w:t>
      </w:r>
      <w:r w:rsidR="003248C6">
        <w:t xml:space="preserve"> en la </w:t>
      </w:r>
      <w:r w:rsidR="003248C6" w:rsidRPr="003248C6">
        <w:rPr>
          <w:b/>
          <w:bCs/>
        </w:rPr>
        <w:t>Resolución 309 de 2025</w:t>
      </w:r>
      <w:r w:rsidR="003248C6">
        <w:rPr>
          <w:rStyle w:val="Refdenotaalpie"/>
        </w:rPr>
        <w:footnoteReference w:id="2"/>
      </w:r>
      <w:r w:rsidR="003248C6">
        <w:t xml:space="preserve">, con el fin de que esta población pueda fortalecer el ejercicio de su autonomía progresiva contextual y el talento humano en salud pueda tener claro el procedimiento para garantizar el acceso a las atenciones en salud sexual y salud reproductiva, incluida aquí la anticoncepción, que los y las adolescentes requieran, teniendo en cuenta cada particularidad al momento de la atención. </w:t>
      </w:r>
    </w:p>
    <w:p w14:paraId="14EF0D56" w14:textId="77777777" w:rsidR="003248C6" w:rsidRDefault="003248C6" w:rsidP="00A37A08">
      <w:pPr>
        <w:jc w:val="both"/>
      </w:pPr>
    </w:p>
    <w:p w14:paraId="502B82A4" w14:textId="4FEFED44" w:rsidR="00A37A08" w:rsidRPr="00A37A08" w:rsidRDefault="003248C6" w:rsidP="00A37A08">
      <w:pPr>
        <w:jc w:val="both"/>
      </w:pPr>
      <w:r>
        <w:t>Proyectó: Alexander Riascos Oñate – Ruta Promoción y Mantenimiento de la Salud.</w:t>
      </w:r>
    </w:p>
    <w:sectPr w:rsidR="00A37A08" w:rsidRPr="00A37A0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002EC" w14:textId="77777777" w:rsidR="006E29BD" w:rsidRDefault="006E29BD" w:rsidP="003248C6">
      <w:pPr>
        <w:spacing w:after="0" w:line="240" w:lineRule="auto"/>
      </w:pPr>
      <w:r>
        <w:separator/>
      </w:r>
    </w:p>
  </w:endnote>
  <w:endnote w:type="continuationSeparator" w:id="0">
    <w:p w14:paraId="6A6D79C9" w14:textId="77777777" w:rsidR="006E29BD" w:rsidRDefault="006E29BD" w:rsidP="00324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26760" w14:textId="77777777" w:rsidR="006E29BD" w:rsidRDefault="006E29BD" w:rsidP="003248C6">
      <w:pPr>
        <w:spacing w:after="0" w:line="240" w:lineRule="auto"/>
      </w:pPr>
      <w:r>
        <w:separator/>
      </w:r>
    </w:p>
  </w:footnote>
  <w:footnote w:type="continuationSeparator" w:id="0">
    <w:p w14:paraId="1ADE0124" w14:textId="77777777" w:rsidR="006E29BD" w:rsidRDefault="006E29BD" w:rsidP="003248C6">
      <w:pPr>
        <w:spacing w:after="0" w:line="240" w:lineRule="auto"/>
      </w:pPr>
      <w:r>
        <w:continuationSeparator/>
      </w:r>
    </w:p>
  </w:footnote>
  <w:footnote w:id="1">
    <w:p w14:paraId="6250D5DB" w14:textId="0957A595" w:rsidR="003248C6" w:rsidRDefault="003248C6" w:rsidP="003248C6">
      <w:pPr>
        <w:pStyle w:val="Textonotapie"/>
        <w:jc w:val="both"/>
      </w:pPr>
      <w:r>
        <w:rPr>
          <w:rStyle w:val="Refdenotaalpie"/>
        </w:rPr>
        <w:footnoteRef/>
      </w:r>
      <w:r>
        <w:t xml:space="preserve"> </w:t>
      </w:r>
      <w:r w:rsidRPr="003248C6">
        <w:t>Por medio de la cual se adoptan los lineamientos técnicos y operativos de la Ruta Integral de Atención para la Promoción y Mantenimiento de la Salud y la Ruta Integral de Atención en Salud para la Población Materno Perinatal y se establecen las directrices para su operación</w:t>
      </w:r>
      <w:r>
        <w:t>.</w:t>
      </w:r>
    </w:p>
  </w:footnote>
  <w:footnote w:id="2">
    <w:p w14:paraId="0E6858BA" w14:textId="0043E814" w:rsidR="003248C6" w:rsidRDefault="003248C6" w:rsidP="003248C6">
      <w:pPr>
        <w:pStyle w:val="Textonotapie"/>
        <w:jc w:val="both"/>
      </w:pPr>
      <w:r>
        <w:rPr>
          <w:rStyle w:val="Refdenotaalpie"/>
        </w:rPr>
        <w:footnoteRef/>
      </w:r>
      <w:r>
        <w:t xml:space="preserve"> Por la cual se imparten lineamientos para garantizar el derecho a la información participación en la toma de decisiones en salud y el ejercicio de la autonomía progresiva y contextual de niños, niñas y adolescentes, a través del asentimiento y el proceso de consentimiento informado.</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A08"/>
    <w:rsid w:val="00051522"/>
    <w:rsid w:val="0030679A"/>
    <w:rsid w:val="003248C6"/>
    <w:rsid w:val="005E7485"/>
    <w:rsid w:val="006E29BD"/>
    <w:rsid w:val="008A2BC9"/>
    <w:rsid w:val="009C61E3"/>
    <w:rsid w:val="00A37A08"/>
    <w:rsid w:val="00AC4346"/>
    <w:rsid w:val="00BF487D"/>
    <w:rsid w:val="00CD0249"/>
    <w:rsid w:val="00E5229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F523E"/>
  <w15:chartTrackingRefBased/>
  <w15:docId w15:val="{2A99313B-FECF-42B2-B67A-F68516D91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A37A0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A37A0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A37A08"/>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A37A08"/>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A37A08"/>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A37A08"/>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A37A08"/>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A37A08"/>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A37A08"/>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37A08"/>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A37A08"/>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A37A08"/>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A37A08"/>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A37A08"/>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A37A08"/>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A37A08"/>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A37A08"/>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A37A08"/>
    <w:rPr>
      <w:rFonts w:eastAsiaTheme="majorEastAsia" w:cstheme="majorBidi"/>
      <w:color w:val="272727" w:themeColor="text1" w:themeTint="D8"/>
    </w:rPr>
  </w:style>
  <w:style w:type="paragraph" w:styleId="Ttulo">
    <w:name w:val="Title"/>
    <w:basedOn w:val="Normal"/>
    <w:next w:val="Normal"/>
    <w:link w:val="TtuloCar"/>
    <w:uiPriority w:val="10"/>
    <w:qFormat/>
    <w:rsid w:val="00A37A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37A0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A37A08"/>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A37A08"/>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A37A08"/>
    <w:pPr>
      <w:spacing w:before="160"/>
      <w:jc w:val="center"/>
    </w:pPr>
    <w:rPr>
      <w:i/>
      <w:iCs/>
      <w:color w:val="404040" w:themeColor="text1" w:themeTint="BF"/>
    </w:rPr>
  </w:style>
  <w:style w:type="character" w:customStyle="1" w:styleId="CitaCar">
    <w:name w:val="Cita Car"/>
    <w:basedOn w:val="Fuentedeprrafopredeter"/>
    <w:link w:val="Cita"/>
    <w:uiPriority w:val="29"/>
    <w:rsid w:val="00A37A08"/>
    <w:rPr>
      <w:i/>
      <w:iCs/>
      <w:color w:val="404040" w:themeColor="text1" w:themeTint="BF"/>
    </w:rPr>
  </w:style>
  <w:style w:type="paragraph" w:styleId="Prrafodelista">
    <w:name w:val="List Paragraph"/>
    <w:basedOn w:val="Normal"/>
    <w:uiPriority w:val="34"/>
    <w:qFormat/>
    <w:rsid w:val="00A37A08"/>
    <w:pPr>
      <w:ind w:left="720"/>
      <w:contextualSpacing/>
    </w:pPr>
  </w:style>
  <w:style w:type="character" w:styleId="nfasisintenso">
    <w:name w:val="Intense Emphasis"/>
    <w:basedOn w:val="Fuentedeprrafopredeter"/>
    <w:uiPriority w:val="21"/>
    <w:qFormat/>
    <w:rsid w:val="00A37A08"/>
    <w:rPr>
      <w:i/>
      <w:iCs/>
      <w:color w:val="0F4761" w:themeColor="accent1" w:themeShade="BF"/>
    </w:rPr>
  </w:style>
  <w:style w:type="paragraph" w:styleId="Citadestacada">
    <w:name w:val="Intense Quote"/>
    <w:basedOn w:val="Normal"/>
    <w:next w:val="Normal"/>
    <w:link w:val="CitadestacadaCar"/>
    <w:uiPriority w:val="30"/>
    <w:qFormat/>
    <w:rsid w:val="00A37A0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A37A08"/>
    <w:rPr>
      <w:i/>
      <w:iCs/>
      <w:color w:val="0F4761" w:themeColor="accent1" w:themeShade="BF"/>
    </w:rPr>
  </w:style>
  <w:style w:type="character" w:styleId="Referenciaintensa">
    <w:name w:val="Intense Reference"/>
    <w:basedOn w:val="Fuentedeprrafopredeter"/>
    <w:uiPriority w:val="32"/>
    <w:qFormat/>
    <w:rsid w:val="00A37A08"/>
    <w:rPr>
      <w:b/>
      <w:bCs/>
      <w:smallCaps/>
      <w:color w:val="0F4761" w:themeColor="accent1" w:themeShade="BF"/>
      <w:spacing w:val="5"/>
    </w:rPr>
  </w:style>
  <w:style w:type="paragraph" w:styleId="Textonotapie">
    <w:name w:val="footnote text"/>
    <w:basedOn w:val="Normal"/>
    <w:link w:val="TextonotapieCar"/>
    <w:uiPriority w:val="99"/>
    <w:semiHidden/>
    <w:unhideWhenUsed/>
    <w:rsid w:val="003248C6"/>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3248C6"/>
    <w:rPr>
      <w:sz w:val="20"/>
      <w:szCs w:val="20"/>
    </w:rPr>
  </w:style>
  <w:style w:type="character" w:styleId="Refdenotaalpie">
    <w:name w:val="footnote reference"/>
    <w:basedOn w:val="Fuentedeprrafopredeter"/>
    <w:uiPriority w:val="99"/>
    <w:semiHidden/>
    <w:unhideWhenUsed/>
    <w:rsid w:val="003248C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6F93C-1ED4-438E-ACF0-097CE8B7A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412</Words>
  <Characters>2266</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Jhony Alexander Riascos Oñate</dc:creator>
  <cp:keywords/>
  <dc:description/>
  <cp:lastModifiedBy>Jhony Alexander Riascos Oñate</cp:lastModifiedBy>
  <cp:revision>2</cp:revision>
  <dcterms:created xsi:type="dcterms:W3CDTF">2025-06-17T16:33:00Z</dcterms:created>
  <dcterms:modified xsi:type="dcterms:W3CDTF">2025-07-01T15:16:00Z</dcterms:modified>
</cp:coreProperties>
</file>